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B" w:rsidRDefault="000B15BB" w:rsidP="000B15BB">
      <w:pPr>
        <w:jc w:val="center"/>
        <w:rPr>
          <w:sz w:val="48"/>
          <w:szCs w:val="48"/>
        </w:rPr>
      </w:pPr>
      <w:r w:rsidRPr="000B15BB">
        <w:rPr>
          <w:sz w:val="48"/>
          <w:szCs w:val="48"/>
        </w:rPr>
        <w:t xml:space="preserve">Liceo Musicale“S.  </w:t>
      </w:r>
      <w:proofErr w:type="spellStart"/>
      <w:r w:rsidRPr="000B15BB">
        <w:rPr>
          <w:sz w:val="48"/>
          <w:szCs w:val="48"/>
        </w:rPr>
        <w:t>Mercadante</w:t>
      </w:r>
      <w:proofErr w:type="spellEnd"/>
      <w:r w:rsidRPr="000B15BB">
        <w:rPr>
          <w:sz w:val="48"/>
          <w:szCs w:val="48"/>
        </w:rPr>
        <w:t>”</w:t>
      </w:r>
    </w:p>
    <w:p w:rsidR="000B15BB" w:rsidRPr="000B15BB" w:rsidRDefault="000B15BB" w:rsidP="000B15BB">
      <w:pPr>
        <w:jc w:val="center"/>
        <w:rPr>
          <w:sz w:val="48"/>
          <w:szCs w:val="48"/>
        </w:rPr>
      </w:pPr>
      <w:proofErr w:type="spellStart"/>
      <w:r w:rsidRPr="000B15BB">
        <w:rPr>
          <w:sz w:val="32"/>
          <w:szCs w:val="32"/>
        </w:rPr>
        <w:t>Sapri</w:t>
      </w:r>
      <w:proofErr w:type="spellEnd"/>
    </w:p>
    <w:p w:rsidR="000B15BB" w:rsidRDefault="000B15BB" w:rsidP="000B15BB">
      <w:pPr>
        <w:jc w:val="center"/>
        <w:rPr>
          <w:sz w:val="44"/>
          <w:szCs w:val="44"/>
        </w:rPr>
      </w:pPr>
      <w:r w:rsidRPr="000B15BB">
        <w:rPr>
          <w:sz w:val="44"/>
          <w:szCs w:val="44"/>
        </w:rPr>
        <w:t>Anno scolastico  2012/2013</w:t>
      </w:r>
    </w:p>
    <w:p w:rsidR="000B15BB" w:rsidRDefault="000B15BB" w:rsidP="000B15BB">
      <w:pPr>
        <w:rPr>
          <w:rFonts w:ascii="Verdana" w:hAnsi="Verdana" w:cs="Verdana"/>
          <w:b/>
          <w:color w:val="000000"/>
          <w:w w:val="109"/>
          <w:u w:val="single"/>
        </w:rPr>
      </w:pPr>
      <w:r w:rsidRPr="000B15BB">
        <w:rPr>
          <w:sz w:val="36"/>
          <w:szCs w:val="36"/>
        </w:rPr>
        <w:t>Pr</w:t>
      </w:r>
      <w:r>
        <w:rPr>
          <w:sz w:val="36"/>
          <w:szCs w:val="36"/>
        </w:rPr>
        <w:t>ogrammazione didattica:</w:t>
      </w:r>
      <w:r w:rsidR="000322D3">
        <w:rPr>
          <w:sz w:val="36"/>
          <w:szCs w:val="36"/>
        </w:rPr>
        <w:t xml:space="preserve">   </w:t>
      </w:r>
      <w:r w:rsidR="000322D3">
        <w:rPr>
          <w:rFonts w:ascii="Verdana" w:hAnsi="Verdana" w:cs="Verdana"/>
          <w:b/>
          <w:color w:val="000000"/>
          <w:w w:val="109"/>
          <w:u w:val="single"/>
        </w:rPr>
        <w:t>Sassofono</w:t>
      </w:r>
      <w:r w:rsidRPr="000B15BB">
        <w:rPr>
          <w:rFonts w:ascii="Verdana" w:hAnsi="Verdana" w:cs="Verdana"/>
          <w:b/>
          <w:color w:val="000000"/>
          <w:w w:val="109"/>
          <w:u w:val="single"/>
        </w:rPr>
        <w:t xml:space="preserve"> </w:t>
      </w:r>
    </w:p>
    <w:p w:rsidR="000B15BB" w:rsidRDefault="000B15BB" w:rsidP="000B15BB">
      <w:pPr>
        <w:jc w:val="center"/>
        <w:rPr>
          <w:rFonts w:ascii="Verdana" w:hAnsi="Verdana" w:cs="Verdana"/>
          <w:color w:val="000000"/>
          <w:w w:val="109"/>
        </w:rPr>
      </w:pPr>
      <w:r>
        <w:rPr>
          <w:rFonts w:ascii="Verdana" w:hAnsi="Verdana" w:cs="Verdana"/>
          <w:color w:val="000000"/>
          <w:w w:val="109"/>
        </w:rPr>
        <w:t xml:space="preserve">Docente: Prof. Claudio </w:t>
      </w:r>
      <w:proofErr w:type="spellStart"/>
      <w:r>
        <w:rPr>
          <w:rFonts w:ascii="Verdana" w:hAnsi="Verdana" w:cs="Verdana"/>
          <w:color w:val="000000"/>
          <w:w w:val="109"/>
        </w:rPr>
        <w:t>Mautone</w:t>
      </w:r>
      <w:proofErr w:type="spellEnd"/>
    </w:p>
    <w:p w:rsidR="000B15BB" w:rsidRDefault="000B15BB" w:rsidP="000B15BB">
      <w:pPr>
        <w:jc w:val="center"/>
        <w:rPr>
          <w:rFonts w:ascii="Verdana" w:hAnsi="Verdana" w:cs="Verdana"/>
          <w:color w:val="000000"/>
          <w:w w:val="109"/>
        </w:rPr>
      </w:pPr>
    </w:p>
    <w:p w:rsidR="000B15BB" w:rsidRDefault="000B15BB" w:rsidP="000B15BB">
      <w:pPr>
        <w:rPr>
          <w:rFonts w:ascii="Verdana" w:hAnsi="Verdana" w:cs="Verdana"/>
          <w:b/>
          <w:color w:val="000000"/>
          <w:w w:val="109"/>
          <w:u w:val="single"/>
        </w:rPr>
      </w:pPr>
      <w:r>
        <w:rPr>
          <w:rFonts w:ascii="Verdana" w:hAnsi="Verdana" w:cs="Verdana"/>
          <w:b/>
          <w:color w:val="000000"/>
          <w:w w:val="109"/>
          <w:u w:val="single"/>
        </w:rPr>
        <w:t>Classe 1 sez. M</w:t>
      </w:r>
    </w:p>
    <w:p w:rsidR="00ED2D30" w:rsidRPr="001063EB" w:rsidRDefault="001063EB" w:rsidP="001063EB">
      <w:pPr>
        <w:rPr>
          <w:sz w:val="36"/>
          <w:szCs w:val="36"/>
        </w:rPr>
      </w:pPr>
      <w:r>
        <w:rPr>
          <w:sz w:val="36"/>
          <w:szCs w:val="36"/>
        </w:rPr>
        <w:t>Situazione di partenz</w:t>
      </w:r>
      <w:r w:rsidR="003654DF">
        <w:rPr>
          <w:sz w:val="36"/>
          <w:szCs w:val="36"/>
        </w:rPr>
        <w:t>a</w:t>
      </w:r>
    </w:p>
    <w:p w:rsidR="009E17B7" w:rsidRDefault="000322D3" w:rsidP="009E17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Gli studenti  della classe 1 M  che studiano sassofono </w:t>
      </w:r>
      <w:r w:rsidR="003654DF">
        <w:rPr>
          <w:sz w:val="24"/>
          <w:szCs w:val="24"/>
        </w:rPr>
        <w:t xml:space="preserve"> sono tre, di cui  due come primo strumento e una  come secondo strumento. </w:t>
      </w:r>
      <w:r w:rsidR="009E17B7">
        <w:rPr>
          <w:sz w:val="24"/>
          <w:szCs w:val="24"/>
        </w:rPr>
        <w:t>Le prove di ingresso hanno evidenziato che per quanto riguarda il primo strumento, uno studente  ha più che buone capacità tecniche ed interpretative, mentre l’altro dimostra discrete capacità.</w:t>
      </w:r>
      <w:r w:rsidR="003654DF">
        <w:rPr>
          <w:sz w:val="24"/>
          <w:szCs w:val="24"/>
        </w:rPr>
        <w:t xml:space="preserve"> </w:t>
      </w:r>
      <w:r w:rsidR="009E17B7">
        <w:rPr>
          <w:sz w:val="24"/>
          <w:szCs w:val="24"/>
        </w:rPr>
        <w:t xml:space="preserve">La studentessa di secondo strumento, ha </w:t>
      </w:r>
      <w:r w:rsidR="003654DF">
        <w:rPr>
          <w:sz w:val="24"/>
          <w:szCs w:val="24"/>
        </w:rPr>
        <w:t>evidenziato</w:t>
      </w:r>
      <w:r w:rsidR="009E17B7">
        <w:rPr>
          <w:sz w:val="24"/>
          <w:szCs w:val="24"/>
        </w:rPr>
        <w:t xml:space="preserve"> un </w:t>
      </w:r>
      <w:r w:rsidR="003654DF">
        <w:rPr>
          <w:sz w:val="24"/>
          <w:szCs w:val="24"/>
        </w:rPr>
        <w:t xml:space="preserve">buon </w:t>
      </w:r>
      <w:r w:rsidR="009E17B7">
        <w:rPr>
          <w:sz w:val="24"/>
          <w:szCs w:val="24"/>
        </w:rPr>
        <w:t>approccio allo strumento, facilitata dal pregresso studio del clarinetto.</w:t>
      </w:r>
    </w:p>
    <w:p w:rsidR="00ED2D30" w:rsidRPr="00ED2D30" w:rsidRDefault="00ED2D30" w:rsidP="00ED2D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63EB" w:rsidRDefault="008379D3" w:rsidP="001063EB">
      <w:pPr>
        <w:spacing w:after="0"/>
        <w:rPr>
          <w:sz w:val="36"/>
          <w:szCs w:val="36"/>
        </w:rPr>
      </w:pPr>
      <w:r w:rsidRPr="001063EB">
        <w:rPr>
          <w:sz w:val="36"/>
          <w:szCs w:val="36"/>
        </w:rPr>
        <w:t xml:space="preserve">Obiettivi specifici di apprendimento </w:t>
      </w:r>
      <w:r w:rsidR="00C84DE6">
        <w:rPr>
          <w:sz w:val="36"/>
          <w:szCs w:val="36"/>
        </w:rPr>
        <w:t>– Primo strumento</w:t>
      </w:r>
    </w:p>
    <w:p w:rsidR="008379D3" w:rsidRDefault="008379D3" w:rsidP="001063EB">
      <w:pPr>
        <w:spacing w:after="0"/>
        <w:rPr>
          <w:i/>
          <w:sz w:val="36"/>
          <w:szCs w:val="36"/>
        </w:rPr>
      </w:pPr>
      <w:r w:rsidRPr="001063EB">
        <w:rPr>
          <w:i/>
          <w:sz w:val="36"/>
          <w:szCs w:val="36"/>
        </w:rPr>
        <w:t xml:space="preserve"> Primo biennio </w:t>
      </w:r>
    </w:p>
    <w:p w:rsidR="00C84DE6" w:rsidRDefault="00C84DE6" w:rsidP="001063EB">
      <w:pPr>
        <w:spacing w:after="0"/>
        <w:rPr>
          <w:i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84DE6" w:rsidTr="00C84DE6">
        <w:tc>
          <w:tcPr>
            <w:tcW w:w="4889" w:type="dxa"/>
          </w:tcPr>
          <w:p w:rsidR="00C84DE6" w:rsidRDefault="00C84DE6" w:rsidP="001063E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Conoscenze </w:t>
            </w:r>
          </w:p>
        </w:tc>
        <w:tc>
          <w:tcPr>
            <w:tcW w:w="4889" w:type="dxa"/>
          </w:tcPr>
          <w:p w:rsidR="00C84DE6" w:rsidRDefault="00C84DE6" w:rsidP="00541D9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Abilità e </w:t>
            </w:r>
            <w:r w:rsidR="00541D9B">
              <w:rPr>
                <w:i/>
                <w:sz w:val="36"/>
                <w:szCs w:val="36"/>
              </w:rPr>
              <w:t>C</w:t>
            </w:r>
            <w:r>
              <w:rPr>
                <w:i/>
                <w:sz w:val="36"/>
                <w:szCs w:val="36"/>
              </w:rPr>
              <w:t>ompetenze</w:t>
            </w:r>
          </w:p>
        </w:tc>
      </w:tr>
      <w:tr w:rsidR="00C84DE6" w:rsidTr="00981DDD">
        <w:trPr>
          <w:trHeight w:val="780"/>
        </w:trPr>
        <w:tc>
          <w:tcPr>
            <w:tcW w:w="4889" w:type="dxa"/>
            <w:tcBorders>
              <w:bottom w:val="single" w:sz="4" w:space="0" w:color="auto"/>
            </w:tcBorders>
          </w:tcPr>
          <w:p w:rsidR="00C84DE6" w:rsidRDefault="00C84DE6" w:rsidP="001063E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Acquisizione di un corretto assetto psicofisico</w:t>
            </w:r>
          </w:p>
          <w:p w:rsidR="00981DDD" w:rsidRDefault="00981DDD" w:rsidP="001063E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541D9B" w:rsidRDefault="00541D9B" w:rsidP="00541D9B">
            <w:pPr>
              <w:rPr>
                <w:i/>
                <w:sz w:val="36"/>
                <w:szCs w:val="36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C84DE6" w:rsidRDefault="00981DDD" w:rsidP="00981DDD">
            <w:pPr>
              <w:rPr>
                <w:i/>
                <w:sz w:val="36"/>
                <w:szCs w:val="36"/>
              </w:rPr>
            </w:pP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Produce eventi musicali con adeguata impostazione strumentale (postura, respirazione, emissione e coordinazione)</w:t>
            </w:r>
          </w:p>
        </w:tc>
      </w:tr>
      <w:tr w:rsidR="00981DDD" w:rsidTr="00AA24B8">
        <w:trPr>
          <w:trHeight w:val="69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981DDD" w:rsidRDefault="00981DDD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81DDD" w:rsidRDefault="00981DDD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</w:t>
            </w:r>
            <w:r w:rsidRPr="00541D9B">
              <w:rPr>
                <w:rFonts w:ascii="Verdana" w:hAnsi="Verdana" w:cs="Verdana"/>
                <w:color w:val="000000"/>
                <w:sz w:val="20"/>
                <w:szCs w:val="20"/>
              </w:rPr>
              <w:t>apacità di controllo del suono ed intonazione</w:t>
            </w:r>
          </w:p>
          <w:p w:rsidR="00981DDD" w:rsidRDefault="00981DDD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981DDD" w:rsidRPr="00981DDD" w:rsidRDefault="00981DDD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81DDD" w:rsidRPr="00981DDD" w:rsidRDefault="00981DDD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Acquisisce, nei cambi di registro, padronanza di emissione e maturità sonora</w:t>
            </w:r>
          </w:p>
        </w:tc>
      </w:tr>
      <w:tr w:rsidR="00AA24B8" w:rsidTr="00AA24B8">
        <w:trPr>
          <w:trHeight w:val="3427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AA24B8" w:rsidRPr="00541D9B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41D9B">
              <w:rPr>
                <w:rFonts w:ascii="Verdana" w:hAnsi="Verdana" w:cs="Verdana"/>
                <w:color w:val="000000"/>
                <w:sz w:val="20"/>
                <w:szCs w:val="20"/>
              </w:rPr>
              <w:t>Controllo delle articolazioni</w:t>
            </w:r>
          </w:p>
          <w:p w:rsidR="00AA24B8" w:rsidRPr="00541D9B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</w:t>
            </w:r>
            <w:r w:rsidRPr="00541D9B">
              <w:rPr>
                <w:rFonts w:ascii="Verdana" w:hAnsi="Verdana" w:cs="Verdana"/>
                <w:color w:val="000000"/>
                <w:sz w:val="20"/>
                <w:szCs w:val="20"/>
              </w:rPr>
              <w:t>onoscenza delle posizioni cromatiche dello strumento</w:t>
            </w:r>
          </w:p>
          <w:p w:rsidR="00AA24B8" w:rsidRPr="00541D9B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41D9B">
              <w:rPr>
                <w:rFonts w:ascii="Verdana" w:hAnsi="Verdana" w:cs="Verdana"/>
                <w:color w:val="000000"/>
                <w:sz w:val="20"/>
                <w:szCs w:val="20"/>
              </w:rPr>
              <w:t>Padronanza dello strumento attraverso la lettura</w:t>
            </w:r>
          </w:p>
          <w:p w:rsidR="00AA24B8" w:rsidRPr="00541D9B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</w:t>
            </w:r>
            <w:r w:rsidRPr="00541D9B">
              <w:rPr>
                <w:rFonts w:ascii="Verdana" w:hAnsi="Verdana" w:cs="Verdana"/>
                <w:color w:val="000000"/>
                <w:sz w:val="20"/>
                <w:szCs w:val="20"/>
              </w:rPr>
              <w:t>ecodificazione allo strumento del testo musicale</w:t>
            </w:r>
          </w:p>
          <w:p w:rsidR="00AA24B8" w:rsidRPr="00541D9B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Pr="00541D9B">
              <w:rPr>
                <w:rFonts w:ascii="Verdana" w:hAnsi="Verdana" w:cs="Verdana"/>
                <w:color w:val="000000"/>
                <w:sz w:val="20"/>
                <w:szCs w:val="20"/>
              </w:rPr>
              <w:t>cquisizione di un metodo di studio</w:t>
            </w:r>
          </w:p>
          <w:p w:rsidR="00AA24B8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AA24B8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Pr="00981DDD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</w:t>
            </w: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onosce l'uso del legato staccato nelle diverse qualità e velocità</w:t>
            </w:r>
          </w:p>
          <w:p w:rsidR="00AA24B8" w:rsidRPr="00981DDD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Usa e controlla in modo preciso la coordinazione dei movimenti nel registro medio/acuto nelle diverse velocità</w:t>
            </w:r>
          </w:p>
          <w:p w:rsidR="00AA24B8" w:rsidRPr="00981DDD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Opportunamente guidato , legge, imita, improvvisa attraverso lo strumento i brani proposti</w:t>
            </w:r>
          </w:p>
          <w:p w:rsidR="00AA24B8" w:rsidRPr="00981DDD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Pr="00981DDD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 gestire, comprendere e riconoscere i vari </w:t>
            </w:r>
          </w:p>
        </w:tc>
      </w:tr>
      <w:tr w:rsidR="00AA24B8" w:rsidTr="00981DDD">
        <w:trPr>
          <w:trHeight w:val="6570"/>
        </w:trPr>
        <w:tc>
          <w:tcPr>
            <w:tcW w:w="4889" w:type="dxa"/>
            <w:tcBorders>
              <w:top w:val="single" w:sz="4" w:space="0" w:color="auto"/>
            </w:tcBorders>
          </w:tcPr>
          <w:p w:rsidR="00AA24B8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41D9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Lettura a prima vista </w:t>
            </w:r>
          </w:p>
          <w:p w:rsidR="00AA24B8" w:rsidRPr="00541D9B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541D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41D9B">
              <w:rPr>
                <w:rFonts w:ascii="Verdana" w:hAnsi="Verdana" w:cs="Verdana"/>
                <w:color w:val="000000"/>
                <w:sz w:val="20"/>
                <w:szCs w:val="20"/>
              </w:rPr>
              <w:t>Consapevolezza delle diverse capacità timbriche dello</w:t>
            </w:r>
            <w:r w:rsidRPr="00541D9B">
              <w:rPr>
                <w:i/>
                <w:sz w:val="36"/>
                <w:szCs w:val="36"/>
              </w:rPr>
              <w:t xml:space="preserve"> </w:t>
            </w:r>
            <w:r w:rsidRPr="00541D9B">
              <w:rPr>
                <w:rFonts w:ascii="Verdana" w:hAnsi="Verdana" w:cs="Verdana"/>
                <w:color w:val="000000"/>
                <w:sz w:val="20"/>
                <w:szCs w:val="20"/>
              </w:rPr>
              <w:t>strumento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AA24B8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aspetti delle notazioni musicali</w:t>
            </w:r>
            <w:r w:rsidR="003654D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(Ritmico, dinamico, timbrico, metrico, </w:t>
            </w:r>
            <w:proofErr w:type="spellStart"/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agogico</w:t>
            </w:r>
            <w:proofErr w:type="spellEnd"/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 armonico)</w:t>
            </w:r>
          </w:p>
          <w:p w:rsidR="00AA24B8" w:rsidRPr="00981DDD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Utilizza un metodo di studio, correggendosi al momento opportuno</w:t>
            </w:r>
          </w:p>
          <w:p w:rsidR="00AA24B8" w:rsidRPr="00981DDD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Legge a prima vista la notazione rispettando la grammatica musicale</w:t>
            </w:r>
          </w:p>
          <w:p w:rsidR="00AA24B8" w:rsidRPr="00981DDD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A24B8" w:rsidRPr="00981DDD" w:rsidRDefault="00AA24B8" w:rsidP="00981DD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981DDD">
              <w:rPr>
                <w:rFonts w:ascii="Verdana" w:hAnsi="Verdana" w:cs="Verdana"/>
                <w:color w:val="000000"/>
                <w:sz w:val="20"/>
                <w:szCs w:val="20"/>
              </w:rPr>
              <w:t>a esplorare le diverse possibilità espressive dello strumento attraverso variate tecniche compositive</w:t>
            </w:r>
          </w:p>
        </w:tc>
      </w:tr>
      <w:tr w:rsidR="00981DDD" w:rsidTr="00D52E8E">
        <w:tc>
          <w:tcPr>
            <w:tcW w:w="9778" w:type="dxa"/>
            <w:gridSpan w:val="2"/>
          </w:tcPr>
          <w:p w:rsidR="00981DDD" w:rsidRDefault="00981DDD" w:rsidP="00981DD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Secondo strumento</w:t>
            </w:r>
          </w:p>
        </w:tc>
      </w:tr>
      <w:tr w:rsidR="00C84DE6" w:rsidTr="00C84DE6">
        <w:tc>
          <w:tcPr>
            <w:tcW w:w="4889" w:type="dxa"/>
          </w:tcPr>
          <w:p w:rsidR="00C84DE6" w:rsidRDefault="00981DDD" w:rsidP="001063EB">
            <w:pPr>
              <w:rPr>
                <w:i/>
                <w:sz w:val="36"/>
                <w:szCs w:val="36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Acquisizione     di     un     corretto     assetto psicofisico</w:t>
            </w:r>
          </w:p>
        </w:tc>
        <w:tc>
          <w:tcPr>
            <w:tcW w:w="4889" w:type="dxa"/>
          </w:tcPr>
          <w:p w:rsidR="00C84DE6" w:rsidRDefault="00AA24B8" w:rsidP="001063EB">
            <w:pPr>
              <w:rPr>
                <w:i/>
                <w:sz w:val="36"/>
                <w:szCs w:val="36"/>
              </w:rPr>
            </w:pPr>
            <w:r w:rsidRPr="00AA24B8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Produce eventi musicali con una adeguata impostazione strumentale(postura, respirazione, emissione e coordinazione)</w:t>
            </w:r>
          </w:p>
        </w:tc>
      </w:tr>
      <w:tr w:rsidR="00C84DE6" w:rsidTr="00C84DE6">
        <w:tc>
          <w:tcPr>
            <w:tcW w:w="4889" w:type="dxa"/>
          </w:tcPr>
          <w:p w:rsidR="00C84DE6" w:rsidRDefault="00502822" w:rsidP="001063EB">
            <w:pPr>
              <w:rPr>
                <w:i/>
                <w:sz w:val="36"/>
                <w:szCs w:val="36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Capacità di controllo del suono e di intonazione</w:t>
            </w:r>
          </w:p>
        </w:tc>
        <w:tc>
          <w:tcPr>
            <w:tcW w:w="4889" w:type="dxa"/>
          </w:tcPr>
          <w:p w:rsidR="00C84DE6" w:rsidRDefault="00502822" w:rsidP="001063EB">
            <w:pPr>
              <w:rPr>
                <w:i/>
                <w:sz w:val="36"/>
                <w:szCs w:val="36"/>
              </w:rPr>
            </w:pPr>
            <w:r w:rsidRPr="00502822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Ac</w:t>
            </w: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quisisce, nei cambi di registro, padronanza di emissione e maturità sonora.</w:t>
            </w:r>
          </w:p>
        </w:tc>
      </w:tr>
      <w:tr w:rsidR="00C84DE6" w:rsidTr="004A1CD0">
        <w:tc>
          <w:tcPr>
            <w:tcW w:w="4889" w:type="dxa"/>
          </w:tcPr>
          <w:p w:rsidR="00C84DE6" w:rsidRDefault="00502822" w:rsidP="001063EB">
            <w:pPr>
              <w:rPr>
                <w:i/>
                <w:sz w:val="36"/>
                <w:szCs w:val="36"/>
              </w:rPr>
            </w:pPr>
            <w:r w:rsidRPr="00502822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Controllo</w:t>
            </w: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 xml:space="preserve"> delle “articolazioni”</w:t>
            </w:r>
          </w:p>
        </w:tc>
        <w:tc>
          <w:tcPr>
            <w:tcW w:w="4889" w:type="dxa"/>
            <w:tcBorders>
              <w:bottom w:val="single" w:sz="4" w:space="0" w:color="000000" w:themeColor="text1"/>
            </w:tcBorders>
          </w:tcPr>
          <w:p w:rsidR="00C84DE6" w:rsidRDefault="00502822" w:rsidP="001063EB">
            <w:pPr>
              <w:rPr>
                <w:i/>
                <w:sz w:val="36"/>
                <w:szCs w:val="36"/>
              </w:rPr>
            </w:pPr>
            <w:r w:rsidRPr="00502822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Conosce</w:t>
            </w: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 xml:space="preserve"> l’uso del legato e dello staccato nelle diverse qualità e velocità</w:t>
            </w:r>
            <w:r w:rsidR="004A1CD0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.</w:t>
            </w:r>
          </w:p>
        </w:tc>
      </w:tr>
      <w:tr w:rsidR="00C84DE6" w:rsidTr="004A1CD0">
        <w:tc>
          <w:tcPr>
            <w:tcW w:w="4889" w:type="dxa"/>
          </w:tcPr>
          <w:p w:rsidR="00C84DE6" w:rsidRPr="00502822" w:rsidRDefault="00502822" w:rsidP="001063EB">
            <w:pP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</w:pPr>
            <w:r w:rsidRPr="00502822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Conos</w:t>
            </w: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 xml:space="preserve">cenza delle posizioni cromatiche dello </w:t>
            </w:r>
            <w:r w:rsidR="004A1CD0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strumento.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C84DE6" w:rsidRPr="004A1CD0" w:rsidRDefault="004A1CD0" w:rsidP="004A1CD0">
            <w:pP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Usa e controlla in modo preciso la coordinazione dei movimenti nel registro medio/acuto nelle diverse velocità.</w:t>
            </w:r>
          </w:p>
        </w:tc>
      </w:tr>
      <w:tr w:rsidR="00C84DE6" w:rsidTr="004A1CD0">
        <w:tc>
          <w:tcPr>
            <w:tcW w:w="4889" w:type="dxa"/>
          </w:tcPr>
          <w:p w:rsidR="00C84DE6" w:rsidRPr="00502822" w:rsidRDefault="002646A2" w:rsidP="001063EB">
            <w:pP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Padronanza dello strumento attraverso la lettura.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C84DE6" w:rsidRDefault="002646A2" w:rsidP="001063EB">
            <w:pPr>
              <w:rPr>
                <w:i/>
                <w:sz w:val="36"/>
                <w:szCs w:val="36"/>
              </w:rPr>
            </w:pPr>
            <w:r w:rsidRPr="002646A2"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Opport</w:t>
            </w: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unamente guidato, legge, imita, “improvvisa” attraverso lo strumento i brani proposti.</w:t>
            </w:r>
          </w:p>
        </w:tc>
      </w:tr>
      <w:tr w:rsidR="002646A2" w:rsidTr="00C84DE6">
        <w:tc>
          <w:tcPr>
            <w:tcW w:w="4889" w:type="dxa"/>
          </w:tcPr>
          <w:p w:rsidR="002646A2" w:rsidRDefault="002646A2" w:rsidP="001063EB">
            <w:pP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Decodificazione allo strumento del testo musicale.</w:t>
            </w:r>
          </w:p>
        </w:tc>
        <w:tc>
          <w:tcPr>
            <w:tcW w:w="4889" w:type="dxa"/>
          </w:tcPr>
          <w:p w:rsidR="002646A2" w:rsidRPr="002646A2" w:rsidRDefault="00DD78F1" w:rsidP="001063EB">
            <w:pP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 xml:space="preserve">Sa gestire , comprendere e riconoscere i vari aspetti delle notazioni musicali ritmico, </w:t>
            </w: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lastRenderedPageBreak/>
              <w:t xml:space="preserve">dinamico, timbrico, metrico, </w:t>
            </w:r>
            <w:proofErr w:type="spellStart"/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agogico</w:t>
            </w:r>
            <w:proofErr w:type="spellEnd"/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 xml:space="preserve"> e armonico</w:t>
            </w:r>
          </w:p>
        </w:tc>
      </w:tr>
      <w:tr w:rsidR="00DD78F1" w:rsidTr="00C84DE6">
        <w:tc>
          <w:tcPr>
            <w:tcW w:w="4889" w:type="dxa"/>
          </w:tcPr>
          <w:p w:rsidR="00DD78F1" w:rsidRDefault="00DD78F1" w:rsidP="001063EB">
            <w:pP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lastRenderedPageBreak/>
              <w:t>Acquisizione di un metodo di studio</w:t>
            </w:r>
          </w:p>
        </w:tc>
        <w:tc>
          <w:tcPr>
            <w:tcW w:w="4889" w:type="dxa"/>
          </w:tcPr>
          <w:p w:rsidR="00DD78F1" w:rsidRDefault="00DD78F1" w:rsidP="001063EB">
            <w:pP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Utilizza un metodo di studio, correggendosi al momento opportuno.</w:t>
            </w:r>
          </w:p>
        </w:tc>
      </w:tr>
      <w:tr w:rsidR="00DD78F1" w:rsidTr="00C84DE6">
        <w:tc>
          <w:tcPr>
            <w:tcW w:w="4889" w:type="dxa"/>
          </w:tcPr>
          <w:p w:rsidR="00DD78F1" w:rsidRDefault="00DD78F1" w:rsidP="001063EB">
            <w:pP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Lettura “ a prima vista”</w:t>
            </w:r>
          </w:p>
        </w:tc>
        <w:tc>
          <w:tcPr>
            <w:tcW w:w="4889" w:type="dxa"/>
          </w:tcPr>
          <w:p w:rsidR="00DD78F1" w:rsidRDefault="00DD78F1" w:rsidP="001063EB">
            <w:pP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5"/>
                <w:sz w:val="20"/>
                <w:szCs w:val="20"/>
              </w:rPr>
              <w:t>Legge “ a prima vista” la notazione, rispettando la grammatica musicale.</w:t>
            </w:r>
          </w:p>
        </w:tc>
      </w:tr>
    </w:tbl>
    <w:p w:rsidR="00C84DE6" w:rsidRPr="001063EB" w:rsidRDefault="00C84DE6" w:rsidP="001063EB">
      <w:pPr>
        <w:spacing w:after="0"/>
        <w:rPr>
          <w:i/>
          <w:sz w:val="36"/>
          <w:szCs w:val="36"/>
        </w:rPr>
      </w:pPr>
    </w:p>
    <w:p w:rsidR="00D66FD0" w:rsidRDefault="001063EB" w:rsidP="001063EB">
      <w:pPr>
        <w:rPr>
          <w:sz w:val="36"/>
          <w:szCs w:val="36"/>
        </w:rPr>
      </w:pPr>
      <w:r>
        <w:rPr>
          <w:sz w:val="36"/>
          <w:szCs w:val="36"/>
        </w:rPr>
        <w:t>Attività</w:t>
      </w:r>
    </w:p>
    <w:p w:rsidR="00405080" w:rsidRPr="00405080" w:rsidRDefault="00405080" w:rsidP="001063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050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individuali in classe, duetti con il maestro, suonare in duo con accompagnamento del pianoforte, </w:t>
      </w:r>
      <w:r w:rsidR="00E140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uso di basi preregis</w:t>
      </w:r>
      <w:r w:rsidR="003654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trate</w:t>
      </w:r>
      <w:r w:rsidR="00E140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3654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140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lettura a prima vista e trasporto di brani di facile e media difficoltà. </w:t>
      </w:r>
    </w:p>
    <w:p w:rsidR="001063EB" w:rsidRPr="00405080" w:rsidRDefault="001063EB" w:rsidP="00FE13DC">
      <w:pPr>
        <w:jc w:val="both"/>
        <w:rPr>
          <w:sz w:val="36"/>
          <w:szCs w:val="36"/>
        </w:rPr>
      </w:pPr>
      <w:r w:rsidRPr="00DC0D2C">
        <w:rPr>
          <w:sz w:val="36"/>
          <w:szCs w:val="36"/>
        </w:rPr>
        <w:t>Metodologia</w:t>
      </w:r>
      <w:r w:rsidR="00405080" w:rsidRPr="00963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br/>
      </w:r>
      <w:r w:rsidR="00405080"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Gli obiettivi saranno sviluppati durante l'intero corso di studio con metodi che daranno agli alunni la possibilità d</w:t>
      </w:r>
      <w:r w:rsidR="003654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405080"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superare nel modo più semplice le varie difficoltà che incontreranno. Per raggiungere questo obiettivo si è pensato di tracciare un metodo semplice e lineare che, partendo da principi elementari</w:t>
      </w:r>
      <w:r w:rsidR="003654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405080"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andrà gradualmente sviluppandosi per arrivare a quelli più complessi. Saranno assegnati esercizi per lo strumento che </w:t>
      </w:r>
      <w:r w:rsidR="003654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405080"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'allievo dovrà effettuare giornalmente durante l'anno scolastico, </w:t>
      </w:r>
      <w:r w:rsidR="003654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405080"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supporto ed  integra</w:t>
      </w:r>
      <w:r w:rsidR="003654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zione </w:t>
      </w:r>
      <w:r w:rsidR="00405080"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lavoro svolto in classe. Tali esercizi avranno un'importanza fondamentale per l'acquisizione degli elementi d</w:t>
      </w:r>
      <w:r w:rsidR="003654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405080"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base e per il superamento delle difficoltà incontrate nell'approccio con lo strumento. In classe verranno scrupolosamente controllati gli esercizi giornalieri assegnati agli alunni, spiegati ed illustrati i nuovi e accertata la progressiva acquisizione degli obiettivi</w:t>
      </w:r>
      <w:r w:rsidR="004050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EF2D61" w:rsidRPr="005D78AD" w:rsidRDefault="00EF2D61" w:rsidP="005D78AD">
      <w:pPr>
        <w:pStyle w:val="Paragrafoelenco"/>
        <w:rPr>
          <w:sz w:val="24"/>
          <w:szCs w:val="24"/>
        </w:rPr>
      </w:pPr>
    </w:p>
    <w:p w:rsidR="00EF2D61" w:rsidRDefault="00EF2D61" w:rsidP="00EF2D61">
      <w:pPr>
        <w:rPr>
          <w:sz w:val="36"/>
          <w:szCs w:val="36"/>
        </w:rPr>
      </w:pPr>
      <w:r w:rsidRPr="00B73B04">
        <w:rPr>
          <w:sz w:val="36"/>
          <w:szCs w:val="36"/>
        </w:rPr>
        <w:t xml:space="preserve">Verifiche </w:t>
      </w:r>
    </w:p>
    <w:p w:rsidR="00405080" w:rsidRPr="00B73B04" w:rsidRDefault="00405080" w:rsidP="00FE13DC">
      <w:pPr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valutazione sarà effettuata in base alle verifiche pratiche svolte durante le lezioni in classe </w:t>
      </w:r>
      <w:r w:rsidR="007D2B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mirerà a controllare le capacità di lettura ed esecuzione della notazione, la conoscenza della terminologia specifica oltre che </w:t>
      </w:r>
      <w:r w:rsidR="007D2B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'acquisizione di tutti gli altri obiettivi didattici. L'allievo verrà valutato </w:t>
      </w:r>
      <w:r w:rsidR="007D2B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relazione alle competenze esecutive raggiunte, tenendo anche conto dei progressi rispetto alla situazione di partenza e </w:t>
      </w:r>
      <w:r w:rsidRPr="009638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all'impegno profuso</w:t>
      </w:r>
      <w:r w:rsidR="007D2B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8379D3" w:rsidRPr="008379D3" w:rsidRDefault="008379D3" w:rsidP="008379D3">
      <w:pPr>
        <w:rPr>
          <w:sz w:val="24"/>
          <w:szCs w:val="24"/>
        </w:rPr>
      </w:pPr>
    </w:p>
    <w:p w:rsidR="003E5BFC" w:rsidRDefault="003E5BFC" w:rsidP="003E5B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Sapri</w:t>
      </w:r>
      <w:proofErr w:type="spellEnd"/>
      <w:r>
        <w:rPr>
          <w:sz w:val="24"/>
          <w:szCs w:val="24"/>
        </w:rPr>
        <w:t xml:space="preserve"> 16/11/2012                                                                                                                   Il docente   </w:t>
      </w:r>
    </w:p>
    <w:p w:rsidR="003E5BFC" w:rsidRPr="008379D3" w:rsidRDefault="003E5BFC" w:rsidP="003E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Prof.Claudio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Mautone</w:t>
      </w:r>
      <w:proofErr w:type="spellEnd"/>
      <w:r>
        <w:rPr>
          <w:sz w:val="24"/>
          <w:szCs w:val="24"/>
        </w:rPr>
        <w:t xml:space="preserve">                     </w:t>
      </w:r>
    </w:p>
    <w:sectPr w:rsidR="003E5BFC" w:rsidRPr="008379D3" w:rsidSect="0074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F43"/>
    <w:multiLevelType w:val="hybridMultilevel"/>
    <w:tmpl w:val="58205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55287"/>
    <w:multiLevelType w:val="hybridMultilevel"/>
    <w:tmpl w:val="AE86D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15BB"/>
    <w:rsid w:val="000322D3"/>
    <w:rsid w:val="000B15BB"/>
    <w:rsid w:val="001063EB"/>
    <w:rsid w:val="00162F72"/>
    <w:rsid w:val="00262F65"/>
    <w:rsid w:val="002646A2"/>
    <w:rsid w:val="002F0555"/>
    <w:rsid w:val="003654DF"/>
    <w:rsid w:val="003E5BFC"/>
    <w:rsid w:val="00405080"/>
    <w:rsid w:val="004A1CD0"/>
    <w:rsid w:val="00502822"/>
    <w:rsid w:val="00541D9B"/>
    <w:rsid w:val="00586016"/>
    <w:rsid w:val="005D78AD"/>
    <w:rsid w:val="0061669B"/>
    <w:rsid w:val="00743168"/>
    <w:rsid w:val="007D2B14"/>
    <w:rsid w:val="008379D3"/>
    <w:rsid w:val="00981DDD"/>
    <w:rsid w:val="009E17B7"/>
    <w:rsid w:val="00AA24B8"/>
    <w:rsid w:val="00C84DE6"/>
    <w:rsid w:val="00D11738"/>
    <w:rsid w:val="00D21562"/>
    <w:rsid w:val="00D55268"/>
    <w:rsid w:val="00D66FD0"/>
    <w:rsid w:val="00DC0D2C"/>
    <w:rsid w:val="00DD78F1"/>
    <w:rsid w:val="00E1404B"/>
    <w:rsid w:val="00ED2D30"/>
    <w:rsid w:val="00EF2D61"/>
    <w:rsid w:val="00F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2D30"/>
    <w:pPr>
      <w:ind w:left="720"/>
      <w:contextualSpacing/>
    </w:pPr>
  </w:style>
  <w:style w:type="paragraph" w:styleId="Nessunaspaziatura">
    <w:name w:val="No Spacing"/>
    <w:uiPriority w:val="1"/>
    <w:qFormat/>
    <w:rsid w:val="008379D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84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EB37-4F1E-4D20-B5DD-A00FC100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11</cp:revision>
  <cp:lastPrinted>2012-11-16T15:15:00Z</cp:lastPrinted>
  <dcterms:created xsi:type="dcterms:W3CDTF">2012-11-16T15:26:00Z</dcterms:created>
  <dcterms:modified xsi:type="dcterms:W3CDTF">2012-11-23T23:22:00Z</dcterms:modified>
</cp:coreProperties>
</file>